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F8" w:rsidRPr="007E683E" w:rsidRDefault="00B92FF8" w:rsidP="00B92FF8">
      <w:pPr>
        <w:shd w:val="clear" w:color="auto" w:fill="FFFFFF"/>
        <w:spacing w:after="0" w:line="240" w:lineRule="auto"/>
        <w:jc w:val="both"/>
        <w:outlineLvl w:val="0"/>
        <w:rPr>
          <w:rFonts w:ascii="Times New Roman" w:eastAsia="Times New Roman" w:hAnsi="Times New Roman" w:cs="Times New Roman"/>
          <w:b/>
          <w:kern w:val="36"/>
          <w:sz w:val="28"/>
          <w:szCs w:val="28"/>
          <w:lang w:eastAsia="ru-RU"/>
        </w:rPr>
      </w:pPr>
      <w:r w:rsidRPr="007E683E">
        <w:rPr>
          <w:rFonts w:ascii="Times New Roman" w:eastAsia="Times New Roman" w:hAnsi="Times New Roman" w:cs="Times New Roman"/>
          <w:b/>
          <w:kern w:val="36"/>
          <w:sz w:val="28"/>
          <w:szCs w:val="28"/>
          <w:lang w:eastAsia="ru-RU"/>
        </w:rPr>
        <w:t>О защите прав потребителей медицинских услуг</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Отношения между хозяйствующими субъектами (организациями и индивидуальными предпринимателями), осуществляющими медицинскую деятельность, и физическими лицами, основанные на возмездном предоставлении гражданам медицинских услуг, регулируются соответствующими положениями Гражданского кодекса Российской Федерации, Законом Российской Федерации от 07.02.1992 № 2300-1 «О защите прав потребителей» (далее – Закон РФ «О защите прав потребителей», Закон), а также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 1006 (далее –Правила). Соблюдение содержащихся в них обязательных требований определяет предмет федерального государственного надзора в области защиты прав потребителей медицинских услуг.</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Согласно п. 7 Правил медицинские организации вправе предоставлять на платной основе такие виды медицинских услуг, как индивидуальный медицинский пост в стационаре; применение для лечения лекарств, не входящих в перечень жизненно необходимых и важнейших лекарственных препаратов; применение медицинских изделий и лечебного питания, не предусмотренных стандартами медпомощи; анонимное оказание медицинских услуг. Платно оказываются медицинские услуги иностранным гражданам, не застрахованным по обязательному медицинскому страхованию. Также взимается плата при самостоятельном обращении за получением медицинских услуг (кроме случаев оказания скорой медицинской помощи и медицинской помощи, оказываемой в неотложной или экстренной форме).</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 </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lastRenderedPageBreak/>
        <w:t>Предоставление платных медицинских услуг осуществляется при обязательном наличии у медицинского учреждения лицензии на каждый вид деятельности (п. 46 ч. 1 ст. 12 Федерального закона от 04.05.2011 № 99 «О лицензировании отдельных видов деятельности»).</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Согласно п. 11 Правил исполнитель обязан предоставить посредством</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а)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д) порядок и условия предоставления медицинской помощи в соответствии</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с программой и территориальной программой;</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здравоохранения и территориального органа Федеральной службы по</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надзору в сфере защиты прав потребителей и благополучия человека.</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Согласно п. 13 Правил потребитель вправе потребовать для ознакомления копию учредительного документа медицинской организации,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Договор о предоставлении платных медицинских услуг (далее – договор) заключается потребителем и исполнителем в письменной форме и должен содержать сведения об исполнителе,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невыполнение условий договора, порядке изменения и расторжения договора, иных условиях, определяемых по соглашению сторон (п. 16, 17 Правил).</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Согласно п. 27 Правил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При этом, если оказание таких услуг сопряжено с медицинским вмешательством, обязательно наличие на этот счет информированного добровольного согласия потребителя, которое дается в порядке, установленном ст. 20 Федерального закона от 21.11.2011 № 323-ФЗ «Об основах охраны здоровья граждан в Российской Федерации».</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(п. 31 Правил).</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 xml:space="preserve">Согласно п. 1 ст. 29 Закона РФ «О защите прав потребителей» потребитель при обнаружении недостатков оказанной услуги вправе по своему выбору предъявить одно из требований, установленных нормами этой статьи. </w:t>
      </w:r>
      <w:r w:rsidRPr="007E683E">
        <w:rPr>
          <w:rFonts w:ascii="Times New Roman" w:eastAsia="Times New Roman" w:hAnsi="Times New Roman" w:cs="Times New Roman"/>
          <w:sz w:val="28"/>
          <w:szCs w:val="28"/>
          <w:lang w:eastAsia="ru-RU"/>
        </w:rPr>
        <w:lastRenderedPageBreak/>
        <w:t>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потребовать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Согласно ст. 14 Закона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полном объеме.</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В случае, если имущественные требования потребителя не удовлетворены в добровольном порядке, спор подлежит разрешению в рамках гражданского судопроизводства (п. 1 ст. 11 Гражданского кодекса Российской</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Федерации и п. 1 ст. 17 Закона).</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В соответствии с п. 2 ст. 17 Закона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При этом в соответствии с п. 3 ст. 17 Закона и ст. 333.36 Налогового кодекса Российской Федерации при обращении с иском в суд потребители освобождаются от уплаты государственной пошлины по делам, связанным с нарушением их прав (в случае, если цена иска не превышает 1 000 000 рублей).</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Кроме того, в соответствии со ст. 15 Закона потребитель вправе</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потребовать компенсации морального вреда, размер которой определяется</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судом и не зависит от размера возмещения имущественного вреда.</w:t>
      </w:r>
    </w:p>
    <w:p w:rsidR="00B92FF8" w:rsidRPr="007E683E" w:rsidRDefault="00B92FF8" w:rsidP="00B92FF8">
      <w:pPr>
        <w:shd w:val="clear" w:color="auto" w:fill="FFFFFF"/>
        <w:spacing w:after="150" w:line="360" w:lineRule="atLeast"/>
        <w:jc w:val="both"/>
        <w:rPr>
          <w:rFonts w:ascii="Times New Roman" w:eastAsia="Times New Roman" w:hAnsi="Times New Roman" w:cs="Times New Roman"/>
          <w:sz w:val="28"/>
          <w:szCs w:val="28"/>
          <w:lang w:eastAsia="ru-RU"/>
        </w:rPr>
      </w:pPr>
      <w:r w:rsidRPr="007E683E">
        <w:rPr>
          <w:rFonts w:ascii="Times New Roman" w:eastAsia="Times New Roman" w:hAnsi="Times New Roman" w:cs="Times New Roman"/>
          <w:sz w:val="28"/>
          <w:szCs w:val="28"/>
          <w:lang w:eastAsia="ru-RU"/>
        </w:rPr>
        <w:t>Относительно проверки качества предоставленных платных медицинских услуг следует иметь в виду, что федеральным органом исполнительной власти, осуществляющим функции по контролю и надзору в сфере здравоохранения является Федеральная служба по надзору в сфере здравоохранения (Росздравнадзор), на которую согласно п. 5.1.3. Положения о Федеральной службе по надзору в сфере здравоохранения, утвержденного постановлением Правительства Российской Федерации от 30.06.2004 № 323, возложен государственный контроль качества и безопасности медицинской деятельности.</w:t>
      </w:r>
    </w:p>
    <w:p w:rsidR="00B92FF8" w:rsidRDefault="00B92FF8" w:rsidP="00B92FF8">
      <w:pPr>
        <w:pStyle w:val="a4"/>
        <w:spacing w:before="0" w:beforeAutospacing="0" w:after="200" w:afterAutospacing="0"/>
        <w:ind w:firstLine="387"/>
        <w:jc w:val="both"/>
        <w:rPr>
          <w:sz w:val="28"/>
          <w:szCs w:val="28"/>
        </w:rPr>
      </w:pPr>
      <w:r w:rsidRPr="007E683E">
        <w:rPr>
          <w:sz w:val="28"/>
          <w:szCs w:val="28"/>
        </w:rPr>
        <w:t xml:space="preserve">    В целях защиты своих прав потребители  могут обращаться за соответствующими разъяснениями в </w:t>
      </w:r>
      <w:hyperlink r:id="rId4" w:history="1">
        <w:r w:rsidRPr="007E683E">
          <w:rPr>
            <w:rStyle w:val="a3"/>
            <w:color w:val="auto"/>
            <w:sz w:val="28"/>
            <w:szCs w:val="28"/>
            <w:u w:val="none"/>
          </w:rPr>
          <w:t>территориальный отдел</w:t>
        </w:r>
      </w:hyperlink>
      <w:r w:rsidRPr="007E683E">
        <w:rPr>
          <w:sz w:val="28"/>
          <w:szCs w:val="28"/>
        </w:rPr>
        <w:t xml:space="preserve"> Управления Роспотребнадзора по Красноярскому краю в г. Канске в рабочие дни по телефону 8(39161)22212 и в приемные дни: понедельник  с 09-00ч. до 12-00ч.,  </w:t>
      </w:r>
      <w:r w:rsidRPr="007E683E">
        <w:rPr>
          <w:sz w:val="28"/>
          <w:szCs w:val="28"/>
        </w:rPr>
        <w:lastRenderedPageBreak/>
        <w:t>среда с 15-00ч. до 18-00ч. по адресу: Красноярский край, г. Канск, ул. Эйдемана, 4, кабинет № 1.</w:t>
      </w:r>
    </w:p>
    <w:p w:rsidR="00B92FF8" w:rsidRPr="000E2A7A" w:rsidRDefault="00B92FF8" w:rsidP="00B92FF8">
      <w:pPr>
        <w:pStyle w:val="1"/>
        <w:shd w:val="clear" w:color="auto" w:fill="FFFFFF"/>
        <w:spacing w:before="0" w:beforeAutospacing="0" w:after="525" w:afterAutospacing="0"/>
        <w:rPr>
          <w:sz w:val="28"/>
          <w:szCs w:val="28"/>
        </w:rPr>
      </w:pPr>
      <w:r w:rsidRPr="000E2A7A">
        <w:rPr>
          <w:sz w:val="28"/>
          <w:szCs w:val="28"/>
        </w:rPr>
        <w:t>Чистка ковра на автомойке: удобство или риск?</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Почистить, постирать свой ковер в моечном комплексе для транспортных средств (далее - автомойка), безусловно, во многом удобно.</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Во-первых, автомоек в городе намного больше, чем химчисток.</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Во-вторых, все они расположены в жилых массивах, так сказать  «рядом с домом» и «по дороге», т.е.  далеко ковер нести или везти не требуется.</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В-третьих, ценовая политика автомоек гораздо лояльнее, что имеет немаловажное значение для потребителя, да и сроки выполнения работ  несоизмеримо меньшие, чем предлагают химчистки.</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Важно помнить и потребителям, и исполнителям, что данный вид деятельности регламентируется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При приеме изделия в химическую чистку договор обязательно должен быть оформлен в письменной форме (в виде квитанции, иного документа) и должен содержать следующие сведения:</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 фирменное наименование (наименование) и местонахождение (юридический адрес) организации – исполнителя услуги (для индивидуального предпринимателя - фамилия, имя, отчество, сведения о государственной регистрации);</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 вид услуги (работы);</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 цена услуги (работы);</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 точное наименование изделия, его цвет, волокнистый состав, комплектность, имеющиеся дефекты, неудаляемые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lastRenderedPageBreak/>
        <w:t>- отметка об оплате потребителем полной цены услуги (работы) либо о внесенном авансе при оформлении договора, если такая оплата была произведена;</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 даты приема и исполнения заказа;</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 должность лица, принявшего заказ, и его подпись, а также подпись потребителя, сдавшего заказ.</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Один экземпляр договора (квитанции, иного документа) выдается исполнителем потребителю.</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При оформлении заказа 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При получении изделия из химической чистки потребитель обязан проверить сохранность исходной формы, целостность, размеры, цвет, рисунок, рельефность.</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Исполнитель освобождается от ответственности за полную или частичную утрату (повреждение) вещи, принятого им от потребителя, если потребитель предупрежден исполнителем об особых свойствах изделия, которые могут повлечь за собой его полную или частичную утрату (повреждение). Незнание исполнителем особых свойств вещи не освобождает его от ответственности, исполнитель отвечает за сохранность коврового изделия (вещи) в полном объеме.</w:t>
      </w:r>
    </w:p>
    <w:p w:rsidR="00B92FF8" w:rsidRPr="000E2A7A"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При нарушениях прав потребителя на качество и безопасность услуги, приведшим к потере изделием формы и цвета, полной или частичной его утрате, пострадавшему следует обратиться к исполнителю с письменной </w:t>
      </w:r>
      <w:hyperlink r:id="rId5" w:history="1">
        <w:r w:rsidRPr="000E2A7A">
          <w:rPr>
            <w:rStyle w:val="a3"/>
            <w:rFonts w:ascii="Times New Roman" w:hAnsi="Times New Roman" w:cs="Times New Roman"/>
            <w:color w:val="auto"/>
            <w:sz w:val="28"/>
            <w:szCs w:val="28"/>
          </w:rPr>
          <w:t> претензией о нарушении прав потребителя по договору возмездного оказания услуг химической чистки</w:t>
        </w:r>
      </w:hyperlink>
      <w:r w:rsidRPr="000E2A7A">
        <w:rPr>
          <w:rFonts w:ascii="Times New Roman" w:hAnsi="Times New Roman" w:cs="Times New Roman"/>
          <w:sz w:val="28"/>
          <w:szCs w:val="28"/>
        </w:rPr>
        <w:t>, в которой необходимо изложить обстоятельства произошедшего и указать свои требования.</w:t>
      </w:r>
    </w:p>
    <w:p w:rsidR="00B92FF8" w:rsidRDefault="00B92FF8" w:rsidP="00B92FF8">
      <w:pPr>
        <w:shd w:val="clear" w:color="auto" w:fill="FFFFFF"/>
        <w:spacing w:after="240"/>
        <w:ind w:firstLine="851"/>
        <w:jc w:val="both"/>
        <w:rPr>
          <w:rFonts w:ascii="Times New Roman" w:hAnsi="Times New Roman" w:cs="Times New Roman"/>
          <w:sz w:val="28"/>
          <w:szCs w:val="28"/>
        </w:rPr>
      </w:pPr>
      <w:r w:rsidRPr="000E2A7A">
        <w:rPr>
          <w:rFonts w:ascii="Times New Roman" w:hAnsi="Times New Roman" w:cs="Times New Roman"/>
          <w:sz w:val="28"/>
          <w:szCs w:val="28"/>
        </w:rPr>
        <w:t>В случае отказа исполнителя в добровольном порядке урегулировать ситуацию, потребитель в силу статьи 17 Закона о защите прав потребителей вправе обратиться в суд с исковым заявлением. В силу статьи 1064 Гражданского кодекса Российской Федерации вред, причиненный личности или имуществу гражданина, подлежит возмещению в полном объеме лицом, причинившим вред. Потерпевший, наряду с возмещением причиненного ему имущественного вреда, </w:t>
      </w:r>
      <w:r w:rsidRPr="000E2A7A">
        <w:rPr>
          <w:rStyle w:val="a5"/>
          <w:rFonts w:ascii="Times New Roman" w:hAnsi="Times New Roman" w:cs="Times New Roman"/>
          <w:sz w:val="28"/>
          <w:szCs w:val="28"/>
        </w:rPr>
        <w:t xml:space="preserve">имеет право на компенсацию </w:t>
      </w:r>
      <w:r w:rsidRPr="000E2A7A">
        <w:rPr>
          <w:rStyle w:val="a5"/>
          <w:rFonts w:ascii="Times New Roman" w:hAnsi="Times New Roman" w:cs="Times New Roman"/>
          <w:sz w:val="28"/>
          <w:szCs w:val="28"/>
        </w:rPr>
        <w:lastRenderedPageBreak/>
        <w:t>морального вреда</w:t>
      </w:r>
      <w:r w:rsidRPr="000E2A7A">
        <w:rPr>
          <w:rFonts w:ascii="Times New Roman" w:hAnsi="Times New Roman" w:cs="Times New Roman"/>
          <w:sz w:val="28"/>
          <w:szCs w:val="28"/>
        </w:rPr>
        <w:t> при условии наличия вины причинителя вреда. Иски о нарушении прав потребителей и возмещении вреда, в том числе иски о компенсации морального вреда, могут быть предъявлены гражданином как</w:t>
      </w:r>
      <w:r w:rsidRPr="000E2A7A">
        <w:rPr>
          <w:rStyle w:val="a5"/>
          <w:rFonts w:ascii="Times New Roman" w:hAnsi="Times New Roman" w:cs="Times New Roman"/>
          <w:sz w:val="28"/>
          <w:szCs w:val="28"/>
        </w:rPr>
        <w:t> по месту нахождения организации-исполнителя</w:t>
      </w:r>
      <w:r w:rsidRPr="000E2A7A">
        <w:rPr>
          <w:rFonts w:ascii="Times New Roman" w:hAnsi="Times New Roman" w:cs="Times New Roman"/>
          <w:sz w:val="28"/>
          <w:szCs w:val="28"/>
        </w:rPr>
        <w:t>, так и в суд </w:t>
      </w:r>
      <w:r w:rsidRPr="000E2A7A">
        <w:rPr>
          <w:rStyle w:val="a5"/>
          <w:rFonts w:ascii="Times New Roman" w:hAnsi="Times New Roman" w:cs="Times New Roman"/>
          <w:sz w:val="28"/>
          <w:szCs w:val="28"/>
        </w:rPr>
        <w:t>по месту своего жительства или месту причинения вреда</w:t>
      </w:r>
      <w:r w:rsidRPr="000E2A7A">
        <w:rPr>
          <w:rFonts w:ascii="Times New Roman" w:hAnsi="Times New Roman" w:cs="Times New Roman"/>
          <w:sz w:val="28"/>
          <w:szCs w:val="28"/>
        </w:rPr>
        <w:t>.</w:t>
      </w:r>
    </w:p>
    <w:p w:rsidR="00B92FF8" w:rsidRDefault="00B92FF8" w:rsidP="00B92FF8">
      <w:pPr>
        <w:pStyle w:val="a4"/>
        <w:spacing w:before="0" w:beforeAutospacing="0" w:after="200" w:afterAutospacing="0"/>
        <w:ind w:firstLine="387"/>
        <w:jc w:val="both"/>
        <w:rPr>
          <w:sz w:val="28"/>
          <w:szCs w:val="28"/>
        </w:rPr>
      </w:pPr>
      <w:r w:rsidRPr="007E683E">
        <w:rPr>
          <w:sz w:val="28"/>
          <w:szCs w:val="28"/>
        </w:rPr>
        <w:t xml:space="preserve">    В целях защиты своих прав потребители  могут обращаться за соответствующими разъяснениями в </w:t>
      </w:r>
      <w:hyperlink r:id="rId6" w:history="1">
        <w:r w:rsidRPr="007E683E">
          <w:rPr>
            <w:rStyle w:val="a3"/>
            <w:color w:val="auto"/>
            <w:sz w:val="28"/>
            <w:szCs w:val="28"/>
            <w:u w:val="none"/>
          </w:rPr>
          <w:t>территориальный отдел</w:t>
        </w:r>
      </w:hyperlink>
      <w:r w:rsidRPr="007E683E">
        <w:rPr>
          <w:sz w:val="28"/>
          <w:szCs w:val="28"/>
        </w:rPr>
        <w:t xml:space="preserve"> Управления Роспотребнадзора по Красноярскому краю в г. Канске в рабочие дни по телефону 8(39161)22212 и в приемные дни: понедельник  с 09-00ч. до 12-00ч.,  среда с 15-00ч. до 18-00ч. по адресу: Красноярский край, г. Канск, ул. Эйдемана, 4, кабинет № 1.</w:t>
      </w:r>
    </w:p>
    <w:p w:rsidR="00537A8C" w:rsidRDefault="00537A8C">
      <w:bookmarkStart w:id="0" w:name="_GoBack"/>
      <w:bookmarkEnd w:id="0"/>
    </w:p>
    <w:sectPr w:rsidR="00537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CA"/>
    <w:rsid w:val="00537A8C"/>
    <w:rsid w:val="00B704CA"/>
    <w:rsid w:val="00B9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9E8FC-1E78-46C2-B102-43F68907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FF8"/>
    <w:pPr>
      <w:spacing w:after="200" w:line="276" w:lineRule="auto"/>
    </w:pPr>
  </w:style>
  <w:style w:type="paragraph" w:styleId="1">
    <w:name w:val="heading 1"/>
    <w:basedOn w:val="a"/>
    <w:link w:val="10"/>
    <w:uiPriority w:val="9"/>
    <w:qFormat/>
    <w:rsid w:val="00B92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FF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92FF8"/>
    <w:rPr>
      <w:color w:val="0000FF"/>
      <w:u w:val="single"/>
    </w:rPr>
  </w:style>
  <w:style w:type="paragraph" w:styleId="a4">
    <w:name w:val="Normal (Web)"/>
    <w:basedOn w:val="a"/>
    <w:uiPriority w:val="99"/>
    <w:unhideWhenUsed/>
    <w:rsid w:val="00B92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92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4.rospotrebnadzor.ru/about/structure/maps/" TargetMode="External"/><Relationship Id="rId5" Type="http://schemas.openxmlformats.org/officeDocument/2006/relationships/hyperlink" Target="http://24.rospotrebnadzor.ru/s/24/files/about/obshetvennaya/UgPotr/pretenz/16832_485.doc" TargetMode="External"/><Relationship Id="rId4" Type="http://schemas.openxmlformats.org/officeDocument/2006/relationships/hyperlink" Target="http://24.rospotrebnadzor.ru/about/structure/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Klimkina</dc:creator>
  <cp:keywords/>
  <dc:description/>
  <cp:lastModifiedBy>Viktoriya Klimkina</cp:lastModifiedBy>
  <cp:revision>2</cp:revision>
  <dcterms:created xsi:type="dcterms:W3CDTF">2019-05-29T03:20:00Z</dcterms:created>
  <dcterms:modified xsi:type="dcterms:W3CDTF">2019-05-29T03:20:00Z</dcterms:modified>
</cp:coreProperties>
</file>